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18579031" w14:textId="14D2AD29" w:rsidR="00754729" w:rsidRPr="0049371B" w:rsidRDefault="00B14D1A"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Dr Raju and Partners</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C3D8516"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Using the Accurx platform will require the processing of special category data by Accurx, their sub-processors and by default the GP Practice as a Controller. This will include;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61BD0AB1" w14:textId="369D6D84" w:rsidR="00DA1AAC" w:rsidRPr="00DA1AAC" w:rsidRDefault="00DA1AAC" w:rsidP="00DA1AA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9"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0ECC6F1" w14:textId="77777777"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0"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1"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5BC072FB" w14:textId="77777777" w:rsidR="00D813BB" w:rsidRPr="0049371B" w:rsidRDefault="00D813BB" w:rsidP="006229DE">
      <w:pPr>
        <w:rPr>
          <w:rFonts w:ascii="Arial" w:hAnsi="Arial" w:cs="Arial"/>
          <w:sz w:val="20"/>
          <w:szCs w:val="20"/>
        </w:rPr>
      </w:pP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747EEA4" w14:textId="77777777" w:rsidR="0003559F" w:rsidRDefault="0003559F" w:rsidP="00A24734">
      <w:pPr>
        <w:rPr>
          <w:rFonts w:ascii="Arial" w:hAnsi="Arial" w:cs="Arial"/>
          <w:sz w:val="20"/>
          <w:szCs w:val="20"/>
        </w:rPr>
      </w:pP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Have a Child Health Record for each and every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78F47953"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6E0BC5D2"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2"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lastRenderedPageBreak/>
        <w:t>Your</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6"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w:t>
      </w:r>
      <w:r w:rsidRPr="0049371B">
        <w:rPr>
          <w:rFonts w:ascii="Arial" w:hAnsi="Arial" w:cs="Arial"/>
          <w:color w:val="000000" w:themeColor="text1"/>
          <w:sz w:val="20"/>
          <w:szCs w:val="20"/>
        </w:rPr>
        <w:lastRenderedPageBreak/>
        <w:t>registered and regulated health and care professionals will be able to see information held in your GP records if they need to provide you with direct care, including in an emergency.</w:t>
      </w:r>
    </w:p>
    <w:p w14:paraId="4185E08B" w14:textId="6902BC42"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7"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8"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9"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lastRenderedPageBreak/>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1C896105" w14:textId="77777777" w:rsidR="00451A28" w:rsidRDefault="00451A28" w:rsidP="008A351A">
      <w:pPr>
        <w:spacing w:before="126" w:after="126" w:line="300" w:lineRule="atLeast"/>
        <w:rPr>
          <w:rFonts w:ascii="Arial" w:hAnsi="Arial" w:cs="Arial"/>
          <w:sz w:val="20"/>
          <w:szCs w:val="20"/>
        </w:rPr>
      </w:pPr>
    </w:p>
    <w:p w14:paraId="4A9857DD" w14:textId="77777777" w:rsidR="00451A28" w:rsidRDefault="00451A28" w:rsidP="00451A28">
      <w:pPr>
        <w:rPr>
          <w:rFonts w:ascii="Calibri" w:hAnsi="Calibri" w:cs="Calibri"/>
          <w:b/>
          <w:bCs/>
          <w:sz w:val="22"/>
          <w:szCs w:val="22"/>
        </w:rPr>
      </w:pPr>
      <w:r>
        <w:rPr>
          <w:rFonts w:ascii="Calibri" w:hAnsi="Calibri" w:cs="Calibri"/>
          <w:b/>
          <w:bCs/>
          <w:sz w:val="22"/>
          <w:szCs w:val="22"/>
        </w:rPr>
        <w:t>GP Connect Service</w:t>
      </w:r>
    </w:p>
    <w:p w14:paraId="06CD72F7" w14:textId="77777777" w:rsidR="00451A28" w:rsidRDefault="00451A28" w:rsidP="00451A28">
      <w:pPr>
        <w:rPr>
          <w:rFonts w:ascii="Aptos" w:hAnsi="Aptos" w:cs="Arial"/>
        </w:rPr>
      </w:pPr>
    </w:p>
    <w:p w14:paraId="516FA674" w14:textId="77777777" w:rsidR="00451A28" w:rsidRDefault="00451A28" w:rsidP="00451A28">
      <w:pPr>
        <w:rPr>
          <w:rStyle w:val="apple-converted-space"/>
          <w:rFonts w:ascii="Calibri" w:hAnsi="Calibri" w:cs="Calibri"/>
          <w:sz w:val="22"/>
          <w:szCs w:val="22"/>
        </w:rPr>
      </w:pPr>
      <w:r>
        <w:rPr>
          <w:rFonts w:ascii="Calibri" w:hAnsi="Calibri" w:cs="Calibri"/>
          <w:sz w:val="22"/>
          <w:szCs w:val="22"/>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w:t>
      </w:r>
      <w:proofErr w:type="gramStart"/>
      <w:r>
        <w:rPr>
          <w:rFonts w:ascii="Calibri" w:hAnsi="Calibri" w:cs="Calibri"/>
          <w:sz w:val="22"/>
          <w:szCs w:val="22"/>
        </w:rPr>
        <w:t>Practice,</w:t>
      </w:r>
      <w:proofErr w:type="gramEnd"/>
      <w:r>
        <w:rPr>
          <w:rFonts w:ascii="Calibri" w:hAnsi="Calibri" w:cs="Calibri"/>
          <w:sz w:val="22"/>
          <w:szCs w:val="22"/>
        </w:rPr>
        <w:t xml:space="preserve"> the clinician will access available appointment slots only (through GP Connect) and book you in. This will save you time as you will not need to contact the practice direct for an appointment.</w:t>
      </w:r>
      <w:r>
        <w:rPr>
          <w:rStyle w:val="apple-converted-space"/>
          <w:rFonts w:ascii="Calibri" w:hAnsi="Calibri" w:cs="Calibri"/>
          <w:sz w:val="22"/>
          <w:szCs w:val="22"/>
        </w:rPr>
        <w:t> </w:t>
      </w:r>
    </w:p>
    <w:p w14:paraId="6D205E72" w14:textId="77777777" w:rsidR="00451A28" w:rsidRDefault="00451A28" w:rsidP="00451A28">
      <w:pPr>
        <w:rPr>
          <w:rFonts w:ascii="Aptos" w:hAnsi="Aptos" w:cs="Arial"/>
        </w:rPr>
      </w:pPr>
    </w:p>
    <w:p w14:paraId="4351A2EE" w14:textId="77777777" w:rsidR="00451A28" w:rsidRDefault="00451A28" w:rsidP="00451A28">
      <w:pPr>
        <w:rPr>
          <w:rFonts w:ascii="Calibri" w:hAnsi="Calibri" w:cs="Calibri"/>
          <w:sz w:val="22"/>
          <w:szCs w:val="22"/>
        </w:rPr>
      </w:pPr>
      <w:r>
        <w:rPr>
          <w:rFonts w:ascii="Calibri" w:hAnsi="Calibri" w:cs="Calibri"/>
          <w:sz w:val="22"/>
          <w:szCs w:val="22"/>
        </w:rP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1E3459DC" w14:textId="77777777" w:rsidR="00451A28" w:rsidRDefault="00451A28" w:rsidP="00451A28">
      <w:pPr>
        <w:rPr>
          <w:rFonts w:ascii="Aptos" w:hAnsi="Aptos" w:cs="Arial"/>
        </w:rPr>
      </w:pPr>
    </w:p>
    <w:p w14:paraId="2DE468CB" w14:textId="77777777" w:rsidR="00451A28" w:rsidRDefault="00451A28" w:rsidP="00451A28">
      <w:pPr>
        <w:rPr>
          <w:rFonts w:ascii="Aptos" w:hAnsi="Aptos" w:cs="Arial"/>
        </w:rPr>
      </w:pPr>
      <w:r>
        <w:rPr>
          <w:rFonts w:ascii="Calibri" w:hAnsi="Calibri" w:cs="Calibri"/>
          <w:sz w:val="22"/>
          <w:szCs w:val="22"/>
        </w:rPr>
        <w:t>Please note if you no longer require the appointment or need to change the date and time for any reason you will need to speak to one of our reception staff and not NHS 111.</w:t>
      </w:r>
    </w:p>
    <w:p w14:paraId="2E94EF8A" w14:textId="77777777" w:rsidR="00451A28" w:rsidRDefault="00451A28" w:rsidP="00451A28">
      <w:pPr>
        <w:rPr>
          <w:rFonts w:ascii="Aptos" w:hAnsi="Aptos" w:cs="Arial"/>
        </w:rPr>
      </w:pPr>
      <w:r>
        <w:rPr>
          <w:rFonts w:ascii="Calibri" w:hAnsi="Calibri" w:cs="Calibri"/>
          <w:sz w:val="22"/>
          <w:szCs w:val="22"/>
        </w:rPr>
        <w:t> </w:t>
      </w:r>
    </w:p>
    <w:p w14:paraId="210E445A" w14:textId="77777777" w:rsidR="00451A28" w:rsidRPr="0049371B" w:rsidRDefault="00451A28" w:rsidP="008A351A">
      <w:pPr>
        <w:spacing w:before="126" w:after="126" w:line="300" w:lineRule="atLeast"/>
        <w:rPr>
          <w:rFonts w:ascii="Arial" w:hAnsi="Arial" w:cs="Arial"/>
          <w:sz w:val="20"/>
          <w:szCs w:val="20"/>
        </w:rPr>
      </w:pP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0"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21"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2"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3"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4"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absolutely necessary and the organisation who has made an application for data cannot achieve their purpose without it.  Where </w:t>
      </w:r>
      <w:r w:rsidRPr="0049371B">
        <w:rPr>
          <w:rFonts w:ascii="Arial" w:hAnsi="Arial" w:cs="Arial"/>
          <w:color w:val="000000" w:themeColor="text1"/>
          <w:sz w:val="20"/>
          <w:szCs w:val="20"/>
        </w:rPr>
        <w:lastRenderedPageBreak/>
        <w:t>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6"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7"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8"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9"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w:t>
      </w:r>
      <w:r w:rsidRPr="0049371B">
        <w:rPr>
          <w:rFonts w:ascii="Arial" w:hAnsi="Arial" w:cs="Arial"/>
          <w:sz w:val="20"/>
          <w:szCs w:val="20"/>
        </w:rPr>
        <w:lastRenderedPageBreak/>
        <w:t xml:space="preserve">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0"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31"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2"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4"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5"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6"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7"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8"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9"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0"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1"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2"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3"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4"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5"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6"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7"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8"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9"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0"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1"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2"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3"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4"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5"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6"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7"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8"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6CBE29E3"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r w:rsidR="00451A28">
        <w:rPr>
          <w:rFonts w:ascii="Arial" w:hAnsi="Arial" w:cs="Arial"/>
          <w:b/>
          <w:bCs/>
          <w:sz w:val="20"/>
          <w:szCs w:val="20"/>
        </w:rPr>
        <w:t xml:space="preserve"> AKA Optum </w:t>
      </w:r>
    </w:p>
    <w:p w14:paraId="27BC090F" w14:textId="6AA2E634"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w:t>
      </w:r>
      <w:r w:rsidR="00451A28">
        <w:rPr>
          <w:rFonts w:ascii="Arial" w:hAnsi="Arial" w:cs="Arial"/>
          <w:sz w:val="20"/>
          <w:szCs w:val="20"/>
        </w:rPr>
        <w:t xml:space="preserve"> (also known as Optum)</w:t>
      </w:r>
      <w:r w:rsidRPr="0049371B">
        <w:rPr>
          <w:rFonts w:ascii="Arial" w:hAnsi="Arial" w:cs="Arial"/>
          <w:sz w:val="20"/>
          <w:szCs w:val="20"/>
        </w:rPr>
        <w:t xml:space="preserve">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9"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60"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61"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2"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3"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4"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5"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w:t>
      </w:r>
      <w:r w:rsidRPr="00C76805">
        <w:rPr>
          <w:rFonts w:ascii="Arial" w:hAnsi="Arial" w:cs="Arial"/>
          <w:color w:val="000000" w:themeColor="text1"/>
          <w:sz w:val="20"/>
          <w:szCs w:val="20"/>
        </w:rPr>
        <w:lastRenderedPageBreak/>
        <w:t xml:space="preserve">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66"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67"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held by your GP practice (if they use IT systems managed by TPP and Optum) which has been pseudonymised, and;</w:t>
      </w:r>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68"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lastRenderedPageBreak/>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9"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Substantial public interest – Article 9(2)(g) of UK GDPR, plus Schedule 1, Part 2, Paragraph 6 'statutory etc. and government purposes' of DPA 2018, plus;</w:t>
      </w:r>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lastRenderedPageBreak/>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D76DD" w:rsidP="004D76DD">
      <w:pPr>
        <w:rPr>
          <w:rFonts w:ascii="Arial" w:hAnsi="Arial" w:cs="Arial"/>
          <w:color w:val="000000" w:themeColor="text1"/>
          <w:sz w:val="20"/>
          <w:szCs w:val="20"/>
        </w:rPr>
      </w:pPr>
      <w:hyperlink r:id="rId70" w:history="1">
        <w:r w:rsidRPr="00C76805">
          <w:rPr>
            <w:rFonts w:ascii="Arial" w:hAnsi="Arial" w:cs="Arial"/>
            <w:color w:val="000000" w:themeColor="text1"/>
            <w:sz w:val="20"/>
            <w:szCs w:val="20"/>
            <w:bdr w:val="none" w:sz="0" w:space="0" w:color="auto" w:frame="1"/>
          </w:rPr>
          <w:t>NHS England’s general privacy notice</w:t>
        </w:r>
      </w:hyperlink>
      <w:r w:rsidRPr="00C76805">
        <w:rPr>
          <w:rFonts w:ascii="Arial" w:hAnsi="Arial" w:cs="Arial"/>
          <w:color w:val="000000" w:themeColor="text1"/>
          <w:sz w:val="20"/>
          <w:szCs w:val="20"/>
        </w:rPr>
        <w:br/>
      </w:r>
      <w:hyperlink r:id="rId71" w:history="1">
        <w:r w:rsidRPr="00C76805">
          <w:rPr>
            <w:rFonts w:ascii="Arial" w:hAnsi="Arial" w:cs="Arial"/>
            <w:color w:val="000000" w:themeColor="text1"/>
            <w:sz w:val="20"/>
            <w:szCs w:val="20"/>
            <w:bdr w:val="none" w:sz="0" w:space="0" w:color="auto" w:frame="1"/>
          </w:rPr>
          <w:t>How we look after your health and care information</w:t>
        </w:r>
      </w:hyperlink>
      <w:r w:rsidRPr="00C76805">
        <w:rPr>
          <w:rFonts w:ascii="Arial" w:hAnsi="Arial" w:cs="Arial"/>
          <w:color w:val="000000" w:themeColor="text1"/>
          <w:sz w:val="20"/>
          <w:szCs w:val="20"/>
        </w:rPr>
        <w:br/>
      </w:r>
      <w:hyperlink r:id="rId72" w:history="1">
        <w:r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73"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Data Protection Officer </w:t>
      </w:r>
      <w:proofErr w:type="gramStart"/>
      <w:r w:rsidRPr="00C76805">
        <w:rPr>
          <w:rFonts w:ascii="Arial" w:hAnsi="Arial" w:cs="Arial"/>
          <w:b/>
          <w:bCs/>
          <w:color w:val="000000" w:themeColor="text1"/>
          <w:sz w:val="20"/>
          <w:szCs w:val="20"/>
        </w:rPr>
        <w:t>For</w:t>
      </w:r>
      <w:proofErr w:type="gramEnd"/>
      <w:r w:rsidRPr="00C76805">
        <w:rPr>
          <w:rFonts w:ascii="Arial" w:hAnsi="Arial" w:cs="Arial"/>
          <w:b/>
          <w:bCs/>
          <w:color w:val="000000" w:themeColor="text1"/>
          <w:sz w:val="20"/>
          <w:szCs w:val="20"/>
        </w:rPr>
        <w:t xml:space="preserve">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74"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75"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AA0328"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76"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77"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892C5" w14:textId="77777777" w:rsidR="007D63A0" w:rsidRDefault="007D63A0" w:rsidP="00F51C46">
      <w:r>
        <w:separator/>
      </w:r>
    </w:p>
  </w:endnote>
  <w:endnote w:type="continuationSeparator" w:id="0">
    <w:p w14:paraId="42E74F5D" w14:textId="77777777" w:rsidR="007D63A0" w:rsidRDefault="007D63A0"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2C014" w14:textId="77777777" w:rsidR="007D63A0" w:rsidRDefault="007D63A0" w:rsidP="00F51C46">
      <w:r>
        <w:separator/>
      </w:r>
    </w:p>
  </w:footnote>
  <w:footnote w:type="continuationSeparator" w:id="0">
    <w:p w14:paraId="39FB873B" w14:textId="77777777" w:rsidR="007D63A0" w:rsidRDefault="007D63A0"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32"/>
  </w:num>
  <w:num w:numId="2" w16cid:durableId="693119780">
    <w:abstractNumId w:val="38"/>
  </w:num>
  <w:num w:numId="3" w16cid:durableId="526986339">
    <w:abstractNumId w:val="27"/>
  </w:num>
  <w:num w:numId="4" w16cid:durableId="1082415276">
    <w:abstractNumId w:val="17"/>
  </w:num>
  <w:num w:numId="5" w16cid:durableId="1591085642">
    <w:abstractNumId w:val="1"/>
  </w:num>
  <w:num w:numId="6" w16cid:durableId="480931067">
    <w:abstractNumId w:val="41"/>
  </w:num>
  <w:num w:numId="7" w16cid:durableId="1768648925">
    <w:abstractNumId w:val="3"/>
  </w:num>
  <w:num w:numId="8" w16cid:durableId="1024019690">
    <w:abstractNumId w:val="2"/>
  </w:num>
  <w:num w:numId="9" w16cid:durableId="1317879001">
    <w:abstractNumId w:val="24"/>
  </w:num>
  <w:num w:numId="10" w16cid:durableId="1525903601">
    <w:abstractNumId w:val="0"/>
  </w:num>
  <w:num w:numId="11" w16cid:durableId="365453380">
    <w:abstractNumId w:val="18"/>
  </w:num>
  <w:num w:numId="12" w16cid:durableId="2087023021">
    <w:abstractNumId w:val="35"/>
  </w:num>
  <w:num w:numId="13" w16cid:durableId="1993170551">
    <w:abstractNumId w:val="12"/>
  </w:num>
  <w:num w:numId="14" w16cid:durableId="949779821">
    <w:abstractNumId w:val="44"/>
  </w:num>
  <w:num w:numId="15" w16cid:durableId="1386181383">
    <w:abstractNumId w:val="26"/>
  </w:num>
  <w:num w:numId="16" w16cid:durableId="1078013442">
    <w:abstractNumId w:val="34"/>
  </w:num>
  <w:num w:numId="17" w16cid:durableId="1133330965">
    <w:abstractNumId w:val="23"/>
  </w:num>
  <w:num w:numId="18" w16cid:durableId="1605921569">
    <w:abstractNumId w:val="45"/>
  </w:num>
  <w:num w:numId="19" w16cid:durableId="1688016319">
    <w:abstractNumId w:val="33"/>
  </w:num>
  <w:num w:numId="20" w16cid:durableId="291786995">
    <w:abstractNumId w:val="14"/>
  </w:num>
  <w:num w:numId="21" w16cid:durableId="2115393271">
    <w:abstractNumId w:val="9"/>
  </w:num>
  <w:num w:numId="22" w16cid:durableId="364988891">
    <w:abstractNumId w:val="28"/>
  </w:num>
  <w:num w:numId="23" w16cid:durableId="719599357">
    <w:abstractNumId w:val="25"/>
  </w:num>
  <w:num w:numId="24" w16cid:durableId="854461276">
    <w:abstractNumId w:val="11"/>
  </w:num>
  <w:num w:numId="25" w16cid:durableId="888148783">
    <w:abstractNumId w:val="29"/>
  </w:num>
  <w:num w:numId="26" w16cid:durableId="30230336">
    <w:abstractNumId w:val="16"/>
  </w:num>
  <w:num w:numId="27" w16cid:durableId="97876820">
    <w:abstractNumId w:val="39"/>
  </w:num>
  <w:num w:numId="28" w16cid:durableId="1560822169">
    <w:abstractNumId w:val="8"/>
  </w:num>
  <w:num w:numId="29" w16cid:durableId="893394988">
    <w:abstractNumId w:val="4"/>
  </w:num>
  <w:num w:numId="30" w16cid:durableId="1967470074">
    <w:abstractNumId w:val="37"/>
  </w:num>
  <w:num w:numId="31" w16cid:durableId="2143190756">
    <w:abstractNumId w:val="42"/>
  </w:num>
  <w:num w:numId="32" w16cid:durableId="467017164">
    <w:abstractNumId w:val="5"/>
  </w:num>
  <w:num w:numId="33" w16cid:durableId="228346676">
    <w:abstractNumId w:val="10"/>
  </w:num>
  <w:num w:numId="34" w16cid:durableId="1349798074">
    <w:abstractNumId w:val="19"/>
  </w:num>
  <w:num w:numId="35" w16cid:durableId="1204706260">
    <w:abstractNumId w:val="30"/>
  </w:num>
  <w:num w:numId="36" w16cid:durableId="193421582">
    <w:abstractNumId w:val="7"/>
  </w:num>
  <w:num w:numId="37" w16cid:durableId="296226328">
    <w:abstractNumId w:val="13"/>
  </w:num>
  <w:num w:numId="38" w16cid:durableId="1083448614">
    <w:abstractNumId w:val="40"/>
  </w:num>
  <w:num w:numId="39" w16cid:durableId="2084176729">
    <w:abstractNumId w:val="43"/>
  </w:num>
  <w:num w:numId="40" w16cid:durableId="303656719">
    <w:abstractNumId w:val="22"/>
  </w:num>
  <w:num w:numId="41" w16cid:durableId="1401830076">
    <w:abstractNumId w:val="15"/>
  </w:num>
  <w:num w:numId="42" w16cid:durableId="1311860337">
    <w:abstractNumId w:val="20"/>
  </w:num>
  <w:num w:numId="43" w16cid:durableId="610749378">
    <w:abstractNumId w:val="21"/>
  </w:num>
  <w:num w:numId="44" w16cid:durableId="160581711">
    <w:abstractNumId w:val="6"/>
  </w:num>
  <w:num w:numId="45" w16cid:durableId="986710828">
    <w:abstractNumId w:val="36"/>
  </w:num>
  <w:num w:numId="46" w16cid:durableId="20259330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E0E25"/>
    <w:rsid w:val="000F2A4A"/>
    <w:rsid w:val="000F7FAC"/>
    <w:rsid w:val="001076D5"/>
    <w:rsid w:val="001500F9"/>
    <w:rsid w:val="00154802"/>
    <w:rsid w:val="001553A0"/>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1A28"/>
    <w:rsid w:val="00455E74"/>
    <w:rsid w:val="00457267"/>
    <w:rsid w:val="00466AEC"/>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33985"/>
    <w:rsid w:val="006415AA"/>
    <w:rsid w:val="00645F99"/>
    <w:rsid w:val="00646A1E"/>
    <w:rsid w:val="006477C6"/>
    <w:rsid w:val="006528FD"/>
    <w:rsid w:val="00665ECD"/>
    <w:rsid w:val="006B2D9C"/>
    <w:rsid w:val="006B45AE"/>
    <w:rsid w:val="006B61F9"/>
    <w:rsid w:val="006C1066"/>
    <w:rsid w:val="006D3631"/>
    <w:rsid w:val="006D61C0"/>
    <w:rsid w:val="006F7D72"/>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D63A0"/>
    <w:rsid w:val="007E30BE"/>
    <w:rsid w:val="008021DF"/>
    <w:rsid w:val="00802AEE"/>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0FF3"/>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0328"/>
    <w:rsid w:val="00AA4B89"/>
    <w:rsid w:val="00AA4BD8"/>
    <w:rsid w:val="00AB32DB"/>
    <w:rsid w:val="00AB58F6"/>
    <w:rsid w:val="00AD50A7"/>
    <w:rsid w:val="00AF5753"/>
    <w:rsid w:val="00AF793B"/>
    <w:rsid w:val="00B11CC1"/>
    <w:rsid w:val="00B14D1A"/>
    <w:rsid w:val="00B26C14"/>
    <w:rsid w:val="00B26E17"/>
    <w:rsid w:val="00B42BD0"/>
    <w:rsid w:val="00B47C5F"/>
    <w:rsid w:val="00B63C3B"/>
    <w:rsid w:val="00B91671"/>
    <w:rsid w:val="00B92B1C"/>
    <w:rsid w:val="00B94788"/>
    <w:rsid w:val="00BA057D"/>
    <w:rsid w:val="00BD389C"/>
    <w:rsid w:val="00BE7623"/>
    <w:rsid w:val="00BF4D87"/>
    <w:rsid w:val="00C13A3D"/>
    <w:rsid w:val="00C16543"/>
    <w:rsid w:val="00C16FFD"/>
    <w:rsid w:val="00C47616"/>
    <w:rsid w:val="00C62EAC"/>
    <w:rsid w:val="00C71581"/>
    <w:rsid w:val="00C87466"/>
    <w:rsid w:val="00CA5A4E"/>
    <w:rsid w:val="00CC41F9"/>
    <w:rsid w:val="00CD665F"/>
    <w:rsid w:val="00CF37C0"/>
    <w:rsid w:val="00D009BB"/>
    <w:rsid w:val="00D00D64"/>
    <w:rsid w:val="00D20053"/>
    <w:rsid w:val="00D40A30"/>
    <w:rsid w:val="00D413C3"/>
    <w:rsid w:val="00D76E11"/>
    <w:rsid w:val="00D813BB"/>
    <w:rsid w:val="00D91DBE"/>
    <w:rsid w:val="00DA0F4F"/>
    <w:rsid w:val="00DA1AAC"/>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6" Type="http://schemas.openxmlformats.org/officeDocument/2006/relationships/hyperlink" Target="https://digital.nhs.uk/binaries/content/assets/website-assets/services/dars/data-sharing-framework-contract"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binaries/content/assets/website-assets/data-and-information/clinical-audits-and-registries/national-obesity-audit/noa_dataset_specification_v2.0.xlsx" TargetMode="External"/><Relationship Id="rId34" Type="http://schemas.openxmlformats.org/officeDocument/2006/relationships/hyperlink" Target="https://creativecommons.org/licenses/by/2.0/"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dashboards"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services/data-access-request-service-dars/register-of-approved-data-releases" TargetMode="External"/><Relationship Id="rId63" Type="http://schemas.openxmlformats.org/officeDocument/2006/relationships/hyperlink" Target="http://www.nhs.uk/nhs-app/" TargetMode="External"/><Relationship Id="rId68" Type="http://schemas.openxmlformats.org/officeDocument/2006/relationships/hyperlink" Target="https://docs.opensafely.org/data-sources/" TargetMode="External"/><Relationship Id="rId76" Type="http://schemas.openxmlformats.org/officeDocument/2006/relationships/hyperlink" Target="https://ico.org.uk/" TargetMode="External"/><Relationship Id="rId7" Type="http://schemas.openxmlformats.org/officeDocument/2006/relationships/endnotes" Target="endnotes.xml"/><Relationship Id="rId71" Type="http://schemas.openxmlformats.org/officeDocument/2006/relationships/hyperlink" Target="https://digital.nhs.uk/data-and-information/keeping-data-safe-and-benefitting-the-public/how-we-look-after-your-health-and-care-information" TargetMode="External"/><Relationship Id="rId2" Type="http://schemas.openxmlformats.org/officeDocument/2006/relationships/numbering" Target="numbering.xml"/><Relationship Id="rId16" Type="http://schemas.openxmlformats.org/officeDocument/2006/relationships/hyperlink" Target="https://www.gov.uk/government/publications/coronavirus-covid-19-notification-of-data-controllers-to-share-information" TargetMode="External"/><Relationship Id="rId29" Type="http://schemas.openxmlformats.org/officeDocument/2006/relationships/hyperlink" Target="https://digital.nhs.uk/services/data-access-request-service-dars/data-uses-register" TargetMode="External"/><Relationship Id="rId11" Type="http://schemas.openxmlformats.org/officeDocument/2006/relationships/hyperlink" Target="https://www.england.nhs.uk/digitaltechnology/connecteddigitalsystems/health-and-care-data/joining-up-health-and-care-data/" TargetMode="External"/><Relationship Id="rId24" Type="http://schemas.openxmlformats.org/officeDocument/2006/relationships/hyperlink" Target="https://digital.nhs.uk/about-nhs-digital/corporate-information-and-documents/directions-and-data-provision-notices/secretary-of-state-directions/national-obesity-audit-directions-2023" TargetMode="External"/><Relationship Id="rId32" Type="http://schemas.openxmlformats.org/officeDocument/2006/relationships/hyperlink" Target="http://www.gov.uk/government/organisations/national-data-guardian" TargetMode="External"/><Relationship Id="rId37" Type="http://schemas.openxmlformats.org/officeDocument/2006/relationships/hyperlink" Target="https://digital.nhs.uk/data-and-information/data-collections-and-data-sets/data-collections/general-practice-data-for-planning-and-research" TargetMode="External"/><Relationship Id="rId40" Type="http://schemas.openxmlformats.org/officeDocument/2006/relationships/hyperlink" Target="https://nhs-prod.global.ssl.fastly.net/binaries/content/assets/website-assets/data-and-information/data-collections/general-practice-data-for-planning-and-research/type-1-opt-out-form.docx"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hra.nhs.uk/" TargetMode="External"/><Relationship Id="rId58" Type="http://schemas.openxmlformats.org/officeDocument/2006/relationships/hyperlink" Target="https://understandingpatientdata.org.uk/what-you-need-know" TargetMode="External"/><Relationship Id="rId66" Type="http://schemas.openxmlformats.org/officeDocument/2006/relationships/hyperlink" Target="https://jobs.opensafely.org/&#160;" TargetMode="External"/><Relationship Id="rId74" Type="http://schemas.openxmlformats.org/officeDocument/2006/relationships/hyperlink" Target="mailto:england.dpo@nhs.ne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ptum.co.uk" TargetMode="External"/><Relationship Id="rId10" Type="http://schemas.openxmlformats.org/officeDocument/2006/relationships/hyperlink" Target="https://www.accurx.com/privacy-policy" TargetMode="External"/><Relationship Id="rId19" Type="http://schemas.openxmlformats.org/officeDocument/2006/relationships/hyperlink" Target="https://cprd.com/transparency-information" TargetMode="External"/><Relationship Id="rId31" Type="http://schemas.openxmlformats.org/officeDocument/2006/relationships/hyperlink" Target="http://www.rcgp.org.uk/" TargetMode="External"/><Relationship Id="rId4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www.necsu.nhs.uk" TargetMode="External"/><Relationship Id="rId65" Type="http://schemas.openxmlformats.org/officeDocument/2006/relationships/hyperlink" Target="https://understandingpatientdata.org.uk/how" TargetMode="External"/><Relationship Id="rId73" Type="http://schemas.openxmlformats.org/officeDocument/2006/relationships/hyperlink" Target="https://www.nhs.uk/using-the-nhs/about-the-nhs/opt-out-of-sharing-your-health-record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app.service.nhs.uk/login" TargetMode="Externa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digital.nhs.uk/data-and-information/publications/statistical/national-obesity-audit" TargetMode="External"/><Relationship Id="rId27" Type="http://schemas.openxmlformats.org/officeDocument/2006/relationships/hyperlink" Target="https://digital.nhs.uk/binaries/content/assets/website-assets/services/dars/blank-dsa.pdf" TargetMode="External"/><Relationship Id="rId30" Type="http://schemas.openxmlformats.org/officeDocument/2006/relationships/hyperlink" Target="http://www.bma.org.uk/"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your-nhs-data-matters" TargetMode="External"/><Relationship Id="rId64" Type="http://schemas.openxmlformats.org/officeDocument/2006/relationships/hyperlink" Target="http://access.login.nhs.uk/enter-email" TargetMode="External"/><Relationship Id="rId69" Type="http://schemas.openxmlformats.org/officeDocument/2006/relationships/hyperlink" Target="https://www.opensafely.org/approved-projects/" TargetMode="External"/><Relationship Id="rId77" Type="http://schemas.openxmlformats.org/officeDocument/2006/relationships/hyperlink" Target="mailto:Couldrey@me.com" TargetMode="External"/><Relationship Id="rId8" Type="http://schemas.openxmlformats.org/officeDocument/2006/relationships/hyperlink" Target="https://www.nhs.uk/nhs-app/" TargetMode="External"/><Relationship Id="rId51" Type="http://schemas.openxmlformats.org/officeDocument/2006/relationships/hyperlink" Target="https://digital.nhs.uk/data-and-information/data-insights-and-statistics/improving-our-data-processing-services" TargetMode="External"/><Relationship Id="rId72" Type="http://schemas.openxmlformats.org/officeDocument/2006/relationships/hyperlink" Target="https://digital.nhs.uk/about-nhs-digital/corporate-information-and-documents/publication-scheme/how-to-make-a-subject-access-request" TargetMode="External"/><Relationship Id="rId3" Type="http://schemas.openxmlformats.org/officeDocument/2006/relationships/styles" Target="styles.xml"/><Relationship Id="rId12" Type="http://schemas.openxmlformats.org/officeDocument/2006/relationships/hyperlink" Target="https://local.nihr.ac.uk/documents/crn-wm-privacy-notice-march-2021/27187" TargetMode="External"/><Relationship Id="rId17" Type="http://schemas.openxmlformats.org/officeDocument/2006/relationships/hyperlink" Target="https://digital.nhs.uk/services/summary-care-records-scr/scr-patient-preference-form" TargetMode="External"/><Relationship Id="rId25" Type="http://schemas.openxmlformats.org/officeDocument/2006/relationships/hyperlink" Target="https://digital.nhs.uk/services/data-access-request-service-dars" TargetMode="External"/><Relationship Id="rId33" Type="http://schemas.openxmlformats.org/officeDocument/2006/relationships/image" Target="media/image1.png"/><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 TargetMode="External"/><Relationship Id="rId59" Type="http://schemas.openxmlformats.org/officeDocument/2006/relationships/hyperlink" Target="https://transform.england.nhs.uk/information-governance/guidance/records-management-code/" TargetMode="External"/><Relationship Id="rId67" Type="http://schemas.openxmlformats.org/officeDocument/2006/relationships/hyperlink" Target="https://www.england.nhs.uk/commissioning/" TargetMode="External"/><Relationship Id="rId20" Type="http://schemas.openxmlformats.org/officeDocument/2006/relationships/hyperlink" Target="http://www.nice.org.uk/guidance/cg189" TargetMode="External"/><Relationship Id="rId41" Type="http://schemas.openxmlformats.org/officeDocument/2006/relationships/hyperlink" Target="https://www.nhs.uk/your-nhs-data-matters/" TargetMode="External"/><Relationship Id="rId54" Type="http://schemas.openxmlformats.org/officeDocument/2006/relationships/hyperlink" Target="https://www.hra.nhs.uk/about-us/committees-and-services/confidentiality-advisory-group/" TargetMode="External"/><Relationship Id="rId62" Type="http://schemas.openxmlformats.org/officeDocument/2006/relationships/hyperlink" Target="http://www.optum.co.uk" TargetMode="External"/><Relationship Id="rId70" Type="http://schemas.openxmlformats.org/officeDocument/2006/relationships/hyperlink" Target="https://www.england.nhs.uk/contact-us/privacy-notice/" TargetMode="External"/><Relationship Id="rId75"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additional-information-in-scr" TargetMode="External"/><Relationship Id="rId23" Type="http://schemas.openxmlformats.org/officeDocument/2006/relationships/hyperlink" Target="https://digital.nhs.uk/about-nhs-digital/corporate-information-and-documents/directions-and-data-provision-notices/data-provision-notices-dpns/cardiovascular-disease-prevention-audit" TargetMode="External"/><Relationship Id="rId28" Type="http://schemas.openxmlformats.org/officeDocument/2006/relationships/hyperlink" Target="https://digital.nhs.uk/services/data-access-request-service-dars/data-sharing-audits" TargetMode="External"/><Relationship Id="rId36" Type="http://schemas.openxmlformats.org/officeDocument/2006/relationships/hyperlink" Target="mailto:enquiries@nhsdigital.nhs.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hra.nhs.uk/information-about-patien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15011</Words>
  <Characters>85569</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Beverley Heath (M83100)</cp:lastModifiedBy>
  <cp:revision>2</cp:revision>
  <cp:lastPrinted>2019-06-13T09:46:00Z</cp:lastPrinted>
  <dcterms:created xsi:type="dcterms:W3CDTF">2025-08-29T15:08:00Z</dcterms:created>
  <dcterms:modified xsi:type="dcterms:W3CDTF">2025-08-29T15:08:00Z</dcterms:modified>
</cp:coreProperties>
</file>